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463E59" w:rsidRPr="007E765F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155B04" w:rsidRPr="00DB167A">
        <w:rPr>
          <w:rFonts w:ascii="Times New Roman" w:hAnsi="Times New Roman"/>
          <w:b/>
          <w:sz w:val="24"/>
          <w:szCs w:val="24"/>
        </w:rPr>
        <w:t>сосудов, работающих под давлением, аппаратов и резервуаров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E400B8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E400B8">
        <w:rPr>
          <w:rFonts w:ascii="Times New Roman" w:hAnsi="Times New Roman"/>
          <w:b/>
          <w:sz w:val="24"/>
          <w:szCs w:val="24"/>
        </w:rPr>
        <w:t>Астрахань</w:t>
      </w:r>
      <w:r w:rsidR="00BD51E6">
        <w:rPr>
          <w:rFonts w:ascii="Times New Roman" w:hAnsi="Times New Roman"/>
          <w:b/>
          <w:sz w:val="24"/>
          <w:szCs w:val="24"/>
        </w:rPr>
        <w:t>"</w:t>
      </w: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E400B8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324CB7" w:rsidRPr="00DB167A" w:rsidRDefault="00324CB7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СРД – сосуды, работающие под давлением;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p w:rsidR="00EB5E6D" w:rsidRPr="00A1584E" w:rsidRDefault="00EB5E6D" w:rsidP="00EB5E6D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bookmarkEnd w:id="0"/>
    <w:bookmarkEnd w:id="1"/>
    <w:bookmarkEnd w:id="2"/>
    <w:p w:rsidR="00FB5CC8" w:rsidRPr="00A1584E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16"/>
          <w:szCs w:val="16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по диагностическому обследованию сосудов, работающих под давлением, аппаратов и резервуаров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СРД, </w:t>
      </w:r>
      <w:r w:rsidR="00FD2588" w:rsidRPr="00DB167A">
        <w:rPr>
          <w:rFonts w:ascii="Times New Roman" w:hAnsi="Times New Roman"/>
          <w:sz w:val="24"/>
          <w:szCs w:val="24"/>
        </w:rPr>
        <w:t xml:space="preserve">аппаратов и резервуаров </w:t>
      </w: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оборудования, необходимых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</w:t>
      </w:r>
      <w:r w:rsidR="00FD2588" w:rsidRPr="00DB167A">
        <w:rPr>
          <w:rFonts w:ascii="Times New Roman" w:hAnsi="Times New Roman"/>
          <w:sz w:val="24"/>
          <w:szCs w:val="24"/>
        </w:rPr>
        <w:t>Подрядчик</w:t>
      </w:r>
      <w:r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проведение работ </w:t>
      </w:r>
      <w:r w:rsidRPr="00DB167A">
        <w:rPr>
          <w:rFonts w:ascii="Times New Roman" w:hAnsi="Times New Roman"/>
          <w:sz w:val="24"/>
          <w:szCs w:val="24"/>
        </w:rPr>
        <w:t>с использованием методов</w:t>
      </w:r>
      <w:r w:rsidR="00553D4B" w:rsidRPr="00DB167A">
        <w:rPr>
          <w:rFonts w:ascii="Times New Roman" w:hAnsi="Times New Roman"/>
          <w:sz w:val="24"/>
          <w:szCs w:val="24"/>
        </w:rPr>
        <w:t xml:space="preserve"> НК;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виды работ: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и результаты ранее произведенных обследований;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наружных и внутренних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C93296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произвести </w:t>
      </w:r>
      <w:r w:rsidR="00553D4B" w:rsidRPr="002945EB">
        <w:rPr>
          <w:rFonts w:ascii="Times New Roman" w:hAnsi="Times New Roman"/>
          <w:color w:val="FF0000"/>
          <w:sz w:val="24"/>
          <w:szCs w:val="24"/>
        </w:rPr>
        <w:t>магнитопорошковую дефектоскопию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>сварных соединений</w:t>
      </w:r>
      <w:r w:rsidR="00E400B8" w:rsidRPr="000F3429">
        <w:rPr>
          <w:rFonts w:ascii="Times New Roman" w:hAnsi="Times New Roman"/>
          <w:color w:val="FF0000"/>
          <w:sz w:val="24"/>
          <w:szCs w:val="24"/>
        </w:rPr>
        <w:t>,</w:t>
      </w:r>
      <w:r w:rsidR="00553D4B" w:rsidRPr="000F34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93296" w:rsidRPr="000F3429">
        <w:rPr>
          <w:rFonts w:ascii="Times New Roman" w:eastAsiaTheme="minorHAnsi" w:hAnsi="Times New Roman"/>
          <w:color w:val="FF0000"/>
          <w:sz w:val="24"/>
          <w:szCs w:val="24"/>
        </w:rPr>
        <w:t>зон термического влияния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произвести гидравлические испытания;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="00553D4B"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="00553D4B" w:rsidRPr="00DB167A">
        <w:rPr>
          <w:rFonts w:ascii="Times New Roman" w:hAnsi="Times New Roman"/>
          <w:sz w:val="24"/>
          <w:szCs w:val="24"/>
        </w:rPr>
        <w:t xml:space="preserve"> элементов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24CB7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обработать и проанализировать результаты измерений.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Выполняется расчет остаточного ресурса </w:t>
      </w:r>
      <w:r w:rsidR="003430F3" w:rsidRPr="00DB167A">
        <w:rPr>
          <w:rFonts w:ascii="Times New Roman" w:hAnsi="Times New Roman"/>
          <w:sz w:val="24"/>
          <w:szCs w:val="24"/>
        </w:rPr>
        <w:t>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по критериям предельного состояния согласно п. 6 РД 03-421-01. Расчет производится по каждому элементу сосуда. За остаточный ресурс сосуда принимают минимальное значение остаточн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ресурс</w:t>
      </w:r>
      <w:r w:rsidR="0015073B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>, рассчитанн</w:t>
      </w:r>
      <w:r w:rsidR="0015073B">
        <w:rPr>
          <w:rFonts w:ascii="Times New Roman" w:hAnsi="Times New Roman"/>
          <w:sz w:val="24"/>
          <w:szCs w:val="24"/>
        </w:rPr>
        <w:t>ого</w:t>
      </w:r>
      <w:r w:rsidRPr="00DB167A">
        <w:rPr>
          <w:rFonts w:ascii="Times New Roman" w:hAnsi="Times New Roman"/>
          <w:sz w:val="24"/>
          <w:szCs w:val="24"/>
        </w:rPr>
        <w:t xml:space="preserve"> для </w:t>
      </w:r>
      <w:r w:rsidR="00FB4270">
        <w:rPr>
          <w:rFonts w:ascii="Times New Roman" w:hAnsi="Times New Roman"/>
          <w:sz w:val="24"/>
          <w:szCs w:val="24"/>
        </w:rPr>
        <w:t xml:space="preserve">каждого </w:t>
      </w:r>
      <w:r w:rsidRPr="00DB167A">
        <w:rPr>
          <w:rFonts w:ascii="Times New Roman" w:hAnsi="Times New Roman"/>
          <w:sz w:val="24"/>
          <w:szCs w:val="24"/>
        </w:rPr>
        <w:t>элемент</w:t>
      </w:r>
      <w:r w:rsidR="00FB4270"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сосуда.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Результаты обследования оформляются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определение причин возникновения выявленных дефектов и оценку их влияния на работоспособность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A1584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СРД с указанием следующего срока обследования.</w:t>
      </w:r>
    </w:p>
    <w:p w:rsidR="00553D4B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Оценка состояния СРД</w:t>
      </w:r>
      <w:r w:rsidR="00FD2588" w:rsidRPr="00DB167A">
        <w:rPr>
          <w:rFonts w:ascii="Times New Roman" w:hAnsi="Times New Roman"/>
          <w:sz w:val="24"/>
          <w:szCs w:val="24"/>
        </w:rPr>
        <w:t>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проводится по параметрам технического состояния, обеспечивающим их надежную и безопасную эксплуатацию в соответствии с требованиями нормативной документации.</w:t>
      </w:r>
    </w:p>
    <w:p w:rsidR="00FB5CC8" w:rsidRPr="00C93296" w:rsidRDefault="007B3346" w:rsidP="00C93296">
      <w:pPr>
        <w:pStyle w:val="a3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3296">
        <w:rPr>
          <w:rFonts w:ascii="Times New Roman" w:hAnsi="Times New Roman"/>
          <w:sz w:val="24"/>
          <w:szCs w:val="24"/>
        </w:rPr>
        <w:lastRenderedPageBreak/>
        <w:t>С</w:t>
      </w:r>
      <w:r w:rsidR="00553D4B" w:rsidRPr="00C93296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C93296">
        <w:rPr>
          <w:rFonts w:ascii="Times New Roman" w:hAnsi="Times New Roman"/>
          <w:sz w:val="24"/>
          <w:szCs w:val="24"/>
        </w:rPr>
        <w:t>ей</w:t>
      </w:r>
      <w:r w:rsidR="00553D4B" w:rsidRPr="00C93296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C93296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C93296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D2588" w:rsidRPr="00DB167A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</w:t>
      </w:r>
      <w:r w:rsidR="00FB4270">
        <w:rPr>
          <w:rFonts w:ascii="Times New Roman" w:hAnsi="Times New Roman"/>
          <w:sz w:val="24"/>
          <w:szCs w:val="24"/>
        </w:rPr>
        <w:t>:</w:t>
      </w:r>
      <w:r w:rsidRPr="00DB167A">
        <w:rPr>
          <w:rFonts w:ascii="Times New Roman" w:hAnsi="Times New Roman"/>
          <w:sz w:val="24"/>
          <w:szCs w:val="24"/>
        </w:rPr>
        <w:t xml:space="preserve"> 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C93296" w:rsidRPr="00DB167A">
        <w:rPr>
          <w:rFonts w:ascii="Times New Roman" w:hAnsi="Times New Roman"/>
          <w:sz w:val="24"/>
          <w:szCs w:val="24"/>
        </w:rPr>
        <w:t>СРД, аппаратов и резервуаров</w:t>
      </w:r>
      <w:r w:rsidRPr="00DB167A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 случае отсутствия паспортов Подрядчик и эксплуатирующая организаци</w:t>
      </w:r>
      <w:r w:rsidR="00C93296">
        <w:rPr>
          <w:rFonts w:ascii="Times New Roman" w:hAnsi="Times New Roman"/>
          <w:sz w:val="24"/>
          <w:szCs w:val="24"/>
        </w:rPr>
        <w:t>я</w:t>
      </w:r>
      <w:r w:rsidRPr="00DB167A">
        <w:rPr>
          <w:rFonts w:ascii="Times New Roman" w:hAnsi="Times New Roman"/>
          <w:sz w:val="24"/>
          <w:szCs w:val="24"/>
        </w:rPr>
        <w:t xml:space="preserve"> согласовывают проведение работ по их восстановлению;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 дефекты должны быть описаны в заключениях по видам контроля, а их место</w:t>
      </w:r>
      <w:r w:rsidR="009A1111">
        <w:rPr>
          <w:rFonts w:ascii="Times New Roman" w:hAnsi="Times New Roman"/>
          <w:sz w:val="24"/>
          <w:szCs w:val="24"/>
        </w:rPr>
        <w:t>рас</w:t>
      </w:r>
      <w:r w:rsidRPr="00DB167A">
        <w:rPr>
          <w:rFonts w:ascii="Times New Roman" w:hAnsi="Times New Roman"/>
          <w:sz w:val="24"/>
          <w:szCs w:val="24"/>
        </w:rPr>
        <w:t xml:space="preserve">положение обозначено на схеме </w:t>
      </w:r>
      <w:r w:rsidR="009A1111">
        <w:rPr>
          <w:rFonts w:ascii="Times New Roman" w:hAnsi="Times New Roman"/>
          <w:sz w:val="24"/>
          <w:szCs w:val="24"/>
        </w:rPr>
        <w:t>объекта контроля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проводит подготовку рекомендаций по устранению дефектов и несоответствий, </w:t>
      </w:r>
      <w:r w:rsidR="009A1111">
        <w:rPr>
          <w:rFonts w:ascii="Times New Roman" w:hAnsi="Times New Roman"/>
          <w:sz w:val="24"/>
          <w:szCs w:val="24"/>
        </w:rPr>
        <w:t>определяет срок</w:t>
      </w:r>
      <w:r w:rsidRPr="00DB167A">
        <w:rPr>
          <w:rFonts w:ascii="Times New Roman" w:hAnsi="Times New Roman"/>
          <w:sz w:val="24"/>
          <w:szCs w:val="24"/>
        </w:rPr>
        <w:t xml:space="preserve"> их </w:t>
      </w:r>
      <w:r w:rsidR="009A1111">
        <w:rPr>
          <w:rFonts w:ascii="Times New Roman" w:hAnsi="Times New Roman"/>
          <w:sz w:val="24"/>
          <w:szCs w:val="24"/>
        </w:rPr>
        <w:t>устранения</w:t>
      </w:r>
      <w:r w:rsidRPr="00DB167A">
        <w:rPr>
          <w:rFonts w:ascii="Times New Roman" w:hAnsi="Times New Roman"/>
          <w:sz w:val="24"/>
          <w:szCs w:val="24"/>
        </w:rPr>
        <w:t xml:space="preserve"> и согласовывает их с эксплуатирующей организацией;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проводится оценка технического состояния оборудования,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</w:t>
      </w:r>
      <w:r w:rsidR="00C93296">
        <w:rPr>
          <w:rFonts w:ascii="Times New Roman" w:hAnsi="Times New Roman"/>
          <w:sz w:val="24"/>
          <w:szCs w:val="24"/>
        </w:rPr>
        <w:t xml:space="preserve">их </w:t>
      </w:r>
      <w:r w:rsidR="009A111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A1111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9A1111">
        <w:rPr>
          <w:rFonts w:ascii="Times New Roman" w:hAnsi="Times New Roman"/>
          <w:sz w:val="24"/>
          <w:szCs w:val="24"/>
        </w:rPr>
        <w:t>.</w:t>
      </w:r>
    </w:p>
    <w:p w:rsidR="002852A7" w:rsidRP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По результатам выполненных работ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Подрядчик предоставляет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эксплуатирующей организации и Заказчику «Технический отчет» на бумажном носителе в 2-х экземплярах и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в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электронном виде в 1-м экземпляре.</w:t>
      </w:r>
    </w:p>
    <w:p w:rsidR="002852A7" w:rsidRDefault="002852A7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</w:t>
      </w:r>
      <w:r w:rsidR="00D171F4" w:rsidRPr="00DB167A">
        <w:rPr>
          <w:rFonts w:ascii="Times New Roman" w:hAnsi="Times New Roman"/>
          <w:sz w:val="24"/>
          <w:szCs w:val="24"/>
        </w:rPr>
        <w:t>сосудов, работающих под давлением, аппаратов и резервуаров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F58B8" w:rsidRPr="00DB167A" w:rsidRDefault="008F58B8" w:rsidP="00CA383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03-576-03 «Правила устройства и безопасной эксплуатации сосудов, работающих под давлением». Утверждены постановлением Госгортехнадзора России от 11 июня 2003 г. № 91;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03-421-01 «Методические указания по проведению диагностирования технического состояния и определению остаточного срока службы сосудов и аппаратов»;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FB4270">
      <w:footerReference w:type="default" r:id="rId8"/>
      <w:pgSz w:w="11906" w:h="16838"/>
      <w:pgMar w:top="993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F0" w:rsidRDefault="00E630F0" w:rsidP="00C849BE">
      <w:r>
        <w:separator/>
      </w:r>
    </w:p>
  </w:endnote>
  <w:endnote w:type="continuationSeparator" w:id="0">
    <w:p w:rsidR="00E630F0" w:rsidRDefault="00E630F0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1584E" w:rsidRDefault="006736A2">
        <w:pPr>
          <w:pStyle w:val="aa"/>
          <w:jc w:val="center"/>
        </w:pPr>
        <w:fldSimple w:instr=" PAGE   \* MERGEFORMAT ">
          <w:r w:rsidR="00BD51E6">
            <w:rPr>
              <w:noProof/>
            </w:rPr>
            <w:t>6</w:t>
          </w:r>
        </w:fldSimple>
      </w:p>
    </w:sdtContent>
  </w:sdt>
  <w:p w:rsidR="00A1584E" w:rsidRDefault="00A158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F0" w:rsidRDefault="00E630F0" w:rsidP="00C849BE">
      <w:r>
        <w:separator/>
      </w:r>
    </w:p>
  </w:footnote>
  <w:footnote w:type="continuationSeparator" w:id="0">
    <w:p w:rsidR="00E630F0" w:rsidRDefault="00E630F0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0F3429"/>
    <w:rsid w:val="0010314B"/>
    <w:rsid w:val="00111528"/>
    <w:rsid w:val="00115062"/>
    <w:rsid w:val="00115626"/>
    <w:rsid w:val="00126CA9"/>
    <w:rsid w:val="0015073B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52A7"/>
    <w:rsid w:val="002862B7"/>
    <w:rsid w:val="0029413F"/>
    <w:rsid w:val="002945EB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A20FC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D1C"/>
    <w:rsid w:val="00661256"/>
    <w:rsid w:val="006631D1"/>
    <w:rsid w:val="00672655"/>
    <w:rsid w:val="006736A2"/>
    <w:rsid w:val="00681397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80BC1"/>
    <w:rsid w:val="00792C89"/>
    <w:rsid w:val="007B3346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222AA"/>
    <w:rsid w:val="009340CD"/>
    <w:rsid w:val="00943203"/>
    <w:rsid w:val="009504AA"/>
    <w:rsid w:val="00956BC8"/>
    <w:rsid w:val="00960A42"/>
    <w:rsid w:val="009633B3"/>
    <w:rsid w:val="00970EF7"/>
    <w:rsid w:val="00977132"/>
    <w:rsid w:val="00990E16"/>
    <w:rsid w:val="00992371"/>
    <w:rsid w:val="009A0E22"/>
    <w:rsid w:val="009A1111"/>
    <w:rsid w:val="009A3C2F"/>
    <w:rsid w:val="009A7032"/>
    <w:rsid w:val="009B1EC6"/>
    <w:rsid w:val="009D6FA1"/>
    <w:rsid w:val="009E03E2"/>
    <w:rsid w:val="009F0AC3"/>
    <w:rsid w:val="009F13D8"/>
    <w:rsid w:val="00A00028"/>
    <w:rsid w:val="00A0564B"/>
    <w:rsid w:val="00A1204B"/>
    <w:rsid w:val="00A14387"/>
    <w:rsid w:val="00A143A0"/>
    <w:rsid w:val="00A1584E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44BF1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51E6"/>
    <w:rsid w:val="00BD7EAC"/>
    <w:rsid w:val="00BF6B64"/>
    <w:rsid w:val="00C00F03"/>
    <w:rsid w:val="00C0679F"/>
    <w:rsid w:val="00C06C79"/>
    <w:rsid w:val="00C06F03"/>
    <w:rsid w:val="00C12DC8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3296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400B8"/>
    <w:rsid w:val="00E565B4"/>
    <w:rsid w:val="00E630F0"/>
    <w:rsid w:val="00E64A10"/>
    <w:rsid w:val="00E80814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4270"/>
    <w:rsid w:val="00FB5148"/>
    <w:rsid w:val="00FB5CC8"/>
    <w:rsid w:val="00FD2588"/>
    <w:rsid w:val="00FD6ED5"/>
    <w:rsid w:val="00FE7598"/>
    <w:rsid w:val="00FF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BFB7-CB29-437B-B144-06452E0A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15</cp:revision>
  <cp:lastPrinted>2012-09-21T06:30:00Z</cp:lastPrinted>
  <dcterms:created xsi:type="dcterms:W3CDTF">2012-02-17T13:10:00Z</dcterms:created>
  <dcterms:modified xsi:type="dcterms:W3CDTF">2012-09-25T13:03:00Z</dcterms:modified>
</cp:coreProperties>
</file>